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E7729" w14:textId="77777777" w:rsidR="00F624B4" w:rsidRPr="009E4C5D" w:rsidRDefault="00F624B4" w:rsidP="00F624B4">
      <w:pPr>
        <w:pStyle w:val="BodyText"/>
        <w:kinsoku w:val="0"/>
        <w:overflowPunct w:val="0"/>
      </w:pPr>
    </w:p>
    <w:p w14:paraId="217E1CD0" w14:textId="77777777" w:rsidR="00F624B4" w:rsidRPr="009E4C5D" w:rsidRDefault="00F624B4" w:rsidP="00F624B4">
      <w:pPr>
        <w:pStyle w:val="BodyText"/>
        <w:kinsoku w:val="0"/>
        <w:overflowPunct w:val="0"/>
      </w:pPr>
      <w:bookmarkStart w:id="0" w:name="_Hlk83289561"/>
    </w:p>
    <w:p w14:paraId="7E2424E3" w14:textId="77777777" w:rsidR="00F624B4" w:rsidRPr="009E4C5D" w:rsidRDefault="00F624B4" w:rsidP="00F624B4">
      <w:pPr>
        <w:spacing w:before="90"/>
        <w:ind w:right="2"/>
        <w:jc w:val="center"/>
        <w:rPr>
          <w:sz w:val="24"/>
        </w:rPr>
      </w:pPr>
      <w:r w:rsidRPr="009E4C5D">
        <w:rPr>
          <w:sz w:val="24"/>
        </w:rPr>
        <w:t>[4 inches for ECF Order]</w:t>
      </w:r>
    </w:p>
    <w:p w14:paraId="4BA803B0" w14:textId="77777777" w:rsidR="00F624B4" w:rsidRPr="009E4C5D" w:rsidRDefault="00F624B4" w:rsidP="00F624B4">
      <w:pPr>
        <w:spacing w:before="90"/>
        <w:ind w:right="2"/>
        <w:jc w:val="center"/>
        <w:rPr>
          <w:sz w:val="24"/>
        </w:rPr>
      </w:pPr>
    </w:p>
    <w:p w14:paraId="07A24E15" w14:textId="77777777" w:rsidR="00F624B4" w:rsidRPr="009E4C5D" w:rsidRDefault="00F624B4" w:rsidP="00F624B4">
      <w:pPr>
        <w:spacing w:before="90"/>
        <w:ind w:right="2"/>
        <w:jc w:val="center"/>
        <w:rPr>
          <w:sz w:val="24"/>
        </w:rPr>
      </w:pPr>
      <w:r w:rsidRPr="009E4C5D">
        <w:rPr>
          <w:sz w:val="24"/>
        </w:rPr>
        <w:t>[Conform Verbiage for Multiple Debtors]</w:t>
      </w:r>
    </w:p>
    <w:p w14:paraId="789A389E" w14:textId="77777777" w:rsidR="00F624B4" w:rsidRPr="009E4C5D" w:rsidRDefault="00F624B4" w:rsidP="00F624B4">
      <w:pPr>
        <w:spacing w:before="90"/>
        <w:ind w:right="2"/>
        <w:jc w:val="center"/>
        <w:rPr>
          <w:sz w:val="24"/>
        </w:rPr>
      </w:pPr>
    </w:p>
    <w:p w14:paraId="4F7B000E" w14:textId="77777777" w:rsidR="00F624B4" w:rsidRPr="00AE4A50" w:rsidRDefault="00F624B4" w:rsidP="00F624B4">
      <w:pPr>
        <w:pStyle w:val="BodyText"/>
        <w:kinsoku w:val="0"/>
        <w:overflowPunct w:val="0"/>
      </w:pPr>
    </w:p>
    <w:p w14:paraId="3CBE0043" w14:textId="77777777" w:rsidR="00F624B4" w:rsidRPr="00AE4A50" w:rsidRDefault="00F624B4" w:rsidP="00F624B4">
      <w:pPr>
        <w:pStyle w:val="BodyText"/>
        <w:kinsoku w:val="0"/>
        <w:overflowPunct w:val="0"/>
      </w:pPr>
    </w:p>
    <w:p w14:paraId="601CE8BF" w14:textId="77777777" w:rsidR="00F624B4" w:rsidRPr="00AE4A50" w:rsidRDefault="00F624B4" w:rsidP="00F624B4">
      <w:pPr>
        <w:pStyle w:val="BodyText"/>
        <w:kinsoku w:val="0"/>
        <w:overflowPunct w:val="0"/>
      </w:pPr>
    </w:p>
    <w:p w14:paraId="5019E27E" w14:textId="77777777" w:rsidR="00F624B4" w:rsidRPr="00AE4A50" w:rsidRDefault="00F624B4" w:rsidP="00F624B4">
      <w:pPr>
        <w:pStyle w:val="BodyText"/>
        <w:kinsoku w:val="0"/>
        <w:overflowPunct w:val="0"/>
      </w:pPr>
    </w:p>
    <w:p w14:paraId="0C12E653" w14:textId="6B1DAFC8" w:rsidR="00F624B4" w:rsidRPr="00AE4A50" w:rsidRDefault="00F624B4" w:rsidP="00F624B4">
      <w:pPr>
        <w:pStyle w:val="BodyText"/>
        <w:kinsoku w:val="0"/>
        <w:overflowPunct w:val="0"/>
      </w:pPr>
    </w:p>
    <w:p w14:paraId="6CED6F15" w14:textId="1E39D2E0" w:rsidR="00F624B4" w:rsidRPr="00AE4A50" w:rsidRDefault="00F624B4" w:rsidP="00F624B4">
      <w:pPr>
        <w:pStyle w:val="BodyText"/>
        <w:kinsoku w:val="0"/>
        <w:overflowPunct w:val="0"/>
      </w:pPr>
    </w:p>
    <w:p w14:paraId="2B5B8DA7" w14:textId="725614EF" w:rsidR="00F624B4" w:rsidRPr="00AE4A50" w:rsidRDefault="00F624B4" w:rsidP="00F624B4">
      <w:pPr>
        <w:pStyle w:val="BodyText"/>
        <w:kinsoku w:val="0"/>
        <w:overflowPunct w:val="0"/>
      </w:pPr>
    </w:p>
    <w:p w14:paraId="6B6E09C9" w14:textId="77777777" w:rsidR="00F624B4" w:rsidRPr="00AE4A50" w:rsidRDefault="00F624B4" w:rsidP="00F624B4">
      <w:pPr>
        <w:pStyle w:val="BodyText"/>
        <w:kinsoku w:val="0"/>
        <w:overflowPunct w:val="0"/>
      </w:pPr>
    </w:p>
    <w:p w14:paraId="38CC6BC3" w14:textId="62272023" w:rsidR="00F624B4" w:rsidRPr="00AE4A50" w:rsidRDefault="00F624B4" w:rsidP="00F624B4">
      <w:pPr>
        <w:pStyle w:val="Heading1"/>
        <w:kinsoku w:val="0"/>
        <w:overflowPunct w:val="0"/>
        <w:ind w:left="0" w:right="60"/>
      </w:pPr>
      <w:r w:rsidRPr="00AE4A50">
        <w:t>UNITED STATES BANKRUPTCY COURT</w:t>
      </w:r>
    </w:p>
    <w:p w14:paraId="154EECE3" w14:textId="77777777" w:rsidR="00F624B4" w:rsidRPr="00AE4A50" w:rsidRDefault="00F624B4" w:rsidP="00F624B4">
      <w:pPr>
        <w:pStyle w:val="Heading1"/>
        <w:kinsoku w:val="0"/>
        <w:overflowPunct w:val="0"/>
        <w:ind w:left="0" w:right="60"/>
      </w:pPr>
      <w:r w:rsidRPr="00AE4A50">
        <w:t>NORTHERN DISTRICT OF GEORGIA</w:t>
      </w:r>
    </w:p>
    <w:p w14:paraId="0FE27A2A" w14:textId="77777777" w:rsidR="00F624B4" w:rsidRPr="00AE4A50" w:rsidRDefault="00F624B4" w:rsidP="00F624B4">
      <w:pPr>
        <w:pStyle w:val="Heading1"/>
        <w:kinsoku w:val="0"/>
        <w:overflowPunct w:val="0"/>
        <w:ind w:left="0" w:right="60"/>
      </w:pPr>
      <w:r w:rsidRPr="00AE4A50">
        <w:t>_____________ DIVISION</w:t>
      </w:r>
    </w:p>
    <w:p w14:paraId="74DDD705" w14:textId="77777777" w:rsidR="00F624B4" w:rsidRPr="00AE4A50" w:rsidRDefault="00F624B4" w:rsidP="00F624B4">
      <w:pPr>
        <w:pStyle w:val="BodyText"/>
        <w:kinsoku w:val="0"/>
        <w:overflowPunct w:val="0"/>
        <w:rPr>
          <w:b/>
          <w:bCs/>
        </w:rPr>
      </w:pPr>
    </w:p>
    <w:p w14:paraId="7D8EC822" w14:textId="77777777" w:rsidR="00F624B4" w:rsidRPr="00AE4A50" w:rsidRDefault="00F624B4" w:rsidP="00F624B4">
      <w:pPr>
        <w:pStyle w:val="BodyText"/>
        <w:kinsoku w:val="0"/>
        <w:overflowPunct w:val="0"/>
        <w:rPr>
          <w:b/>
          <w:bCs/>
        </w:rPr>
      </w:pPr>
      <w:r w:rsidRPr="00AE4A50">
        <w:t>IN</w:t>
      </w:r>
      <w:r w:rsidRPr="00AE4A50">
        <w:rPr>
          <w:spacing w:val="-2"/>
        </w:rPr>
        <w:t xml:space="preserve"> </w:t>
      </w:r>
      <w:r w:rsidRPr="00AE4A50">
        <w:t>RE:</w:t>
      </w:r>
      <w:r w:rsidRPr="00AE4A50">
        <w:tab/>
      </w:r>
      <w:r w:rsidRPr="00AE4A50">
        <w:tab/>
      </w:r>
      <w:r w:rsidRPr="00AE4A50">
        <w:tab/>
      </w:r>
      <w:r w:rsidRPr="00AE4A50">
        <w:tab/>
      </w:r>
      <w:r w:rsidRPr="00AE4A50">
        <w:tab/>
      </w:r>
      <w:r w:rsidRPr="00AE4A50">
        <w:tab/>
        <w:t>|</w:t>
      </w:r>
      <w:r w:rsidRPr="00AE4A50">
        <w:tab/>
      </w:r>
      <w:r w:rsidRPr="00AE4A50">
        <w:rPr>
          <w:b/>
          <w:bCs/>
        </w:rPr>
        <w:t>CASE NO.</w:t>
      </w:r>
      <w:r w:rsidRPr="00AE4A50">
        <w:rPr>
          <w:b/>
          <w:bCs/>
          <w:spacing w:val="-7"/>
        </w:rPr>
        <w:t xml:space="preserve"> </w:t>
      </w:r>
      <w:r w:rsidRPr="00AE4A50">
        <w:rPr>
          <w:b/>
          <w:bCs/>
        </w:rPr>
        <w:t>[</w:t>
      </w:r>
      <w:r w:rsidRPr="00AE4A50">
        <w:rPr>
          <w:b/>
          <w:bCs/>
          <w:shd w:val="clear" w:color="auto" w:fill="FFFF00"/>
        </w:rPr>
        <w:t>XX-XXXXX</w:t>
      </w:r>
      <w:r w:rsidRPr="00AE4A50">
        <w:rPr>
          <w:b/>
          <w:bCs/>
        </w:rPr>
        <w:t>]</w:t>
      </w:r>
    </w:p>
    <w:p w14:paraId="69A0C127" w14:textId="77777777" w:rsidR="00F624B4" w:rsidRPr="00AE4A50" w:rsidRDefault="00F624B4" w:rsidP="00F624B4">
      <w:pPr>
        <w:pStyle w:val="BodyText"/>
        <w:kinsoku w:val="0"/>
        <w:overflowPunct w:val="0"/>
        <w:spacing w:line="264" w:lineRule="exact"/>
        <w:ind w:left="3600" w:firstLine="720"/>
      </w:pPr>
      <w:r w:rsidRPr="00AE4A50">
        <w:t>|</w:t>
      </w:r>
    </w:p>
    <w:p w14:paraId="571ED84C" w14:textId="036BA5F3" w:rsidR="00F624B4" w:rsidRPr="00AE4A50" w:rsidRDefault="00F624B4" w:rsidP="00F624B4">
      <w:pPr>
        <w:pStyle w:val="Heading1"/>
        <w:kinsoku w:val="0"/>
        <w:overflowPunct w:val="0"/>
        <w:ind w:left="0" w:right="0"/>
        <w:jc w:val="left"/>
      </w:pPr>
      <w:r w:rsidRPr="00AE4A50">
        <w:t>[</w:t>
      </w:r>
      <w:r w:rsidRPr="00AE4A50">
        <w:rPr>
          <w:shd w:val="clear" w:color="auto" w:fill="FFFF00"/>
        </w:rPr>
        <w:t>NAME</w:t>
      </w:r>
      <w:r w:rsidRPr="00AE4A50">
        <w:rPr>
          <w:spacing w:val="-1"/>
          <w:shd w:val="clear" w:color="auto" w:fill="FFFF00"/>
        </w:rPr>
        <w:t xml:space="preserve"> </w:t>
      </w:r>
      <w:r w:rsidRPr="00AE4A50">
        <w:rPr>
          <w:shd w:val="clear" w:color="auto" w:fill="FFFF00"/>
        </w:rPr>
        <w:t>OF DEBTOR</w:t>
      </w:r>
      <w:r w:rsidRPr="00AE4A50">
        <w:t>],</w:t>
      </w:r>
      <w:r w:rsidRPr="00AE4A50">
        <w:tab/>
      </w:r>
      <w:r w:rsidRPr="00AE4A50">
        <w:tab/>
      </w:r>
      <w:r w:rsidRPr="00AE4A50">
        <w:tab/>
      </w:r>
      <w:r w:rsidRPr="00AE4A50">
        <w:rPr>
          <w:b w:val="0"/>
          <w:bCs w:val="0"/>
        </w:rPr>
        <w:t>|</w:t>
      </w:r>
      <w:r w:rsidRPr="00AE4A50">
        <w:rPr>
          <w:b w:val="0"/>
          <w:bCs w:val="0"/>
        </w:rPr>
        <w:tab/>
      </w:r>
      <w:r w:rsidRPr="00AE4A50">
        <w:t>CHAPTER</w:t>
      </w:r>
      <w:r w:rsidRPr="00AE4A50">
        <w:rPr>
          <w:spacing w:val="-1"/>
        </w:rPr>
        <w:t xml:space="preserve"> </w:t>
      </w:r>
      <w:r w:rsidR="00AE4A50">
        <w:t>[</w:t>
      </w:r>
      <w:r w:rsidR="00AE4A50" w:rsidRPr="009E4C5D">
        <w:rPr>
          <w:highlight w:val="yellow"/>
        </w:rPr>
        <w:t>XX</w:t>
      </w:r>
      <w:r w:rsidR="00AE4A50" w:rsidRPr="009E4C5D">
        <w:t>]</w:t>
      </w:r>
    </w:p>
    <w:p w14:paraId="555CC15C" w14:textId="77777777" w:rsidR="00F624B4" w:rsidRPr="00AE4A50" w:rsidRDefault="00F624B4" w:rsidP="00F624B4">
      <w:pPr>
        <w:pStyle w:val="BodyText"/>
        <w:kinsoku w:val="0"/>
        <w:overflowPunct w:val="0"/>
        <w:spacing w:line="264" w:lineRule="exact"/>
        <w:ind w:left="3600" w:firstLine="720"/>
      </w:pPr>
      <w:r w:rsidRPr="00AE4A50">
        <w:t>|</w:t>
      </w:r>
    </w:p>
    <w:p w14:paraId="6272D9E2" w14:textId="77777777" w:rsidR="00F624B4" w:rsidRPr="00AE4A50" w:rsidRDefault="00F624B4" w:rsidP="00F624B4">
      <w:pPr>
        <w:pStyle w:val="BodyText"/>
        <w:pBdr>
          <w:bottom w:val="single" w:sz="4" w:space="1" w:color="auto"/>
        </w:pBdr>
        <w:kinsoku w:val="0"/>
        <w:overflowPunct w:val="0"/>
        <w:spacing w:line="264" w:lineRule="exact"/>
      </w:pPr>
      <w:r w:rsidRPr="00AE4A50">
        <w:tab/>
      </w:r>
      <w:r w:rsidRPr="00AE4A50">
        <w:tab/>
        <w:t>Debtor.</w:t>
      </w:r>
      <w:r w:rsidRPr="00AE4A50">
        <w:tab/>
      </w:r>
      <w:r w:rsidRPr="00AE4A50">
        <w:tab/>
      </w:r>
      <w:r w:rsidRPr="00AE4A50">
        <w:tab/>
        <w:t>|</w:t>
      </w:r>
      <w:r w:rsidRPr="00AE4A50">
        <w:tab/>
      </w:r>
      <w:r w:rsidRPr="00AE4A50">
        <w:rPr>
          <w:b/>
          <w:bCs/>
        </w:rPr>
        <w:t>JUDGE BAISIER</w:t>
      </w:r>
    </w:p>
    <w:bookmarkEnd w:id="0"/>
    <w:p w14:paraId="097AA588" w14:textId="77777777" w:rsidR="00C24430" w:rsidRPr="00AE4A50" w:rsidRDefault="00C24430">
      <w:pPr>
        <w:pStyle w:val="BodyText"/>
        <w:spacing w:before="5"/>
      </w:pPr>
    </w:p>
    <w:p w14:paraId="1E3CC31E" w14:textId="635055F0" w:rsidR="00F624B4" w:rsidRPr="00AE4A50" w:rsidRDefault="00615AA7" w:rsidP="00F624B4">
      <w:pPr>
        <w:pStyle w:val="Heading1"/>
        <w:ind w:left="0" w:right="-50"/>
      </w:pPr>
      <w:r w:rsidRPr="00AE4A50">
        <w:t>ORDER GRANTING MOTION FOR EXAMINATION</w:t>
      </w:r>
    </w:p>
    <w:p w14:paraId="412D1278" w14:textId="1FF1E722" w:rsidR="00C24430" w:rsidRPr="00AE4A50" w:rsidRDefault="00615AA7" w:rsidP="00F624B4">
      <w:pPr>
        <w:pStyle w:val="Heading1"/>
        <w:ind w:left="0" w:right="-50"/>
      </w:pPr>
      <w:r w:rsidRPr="00AE4A50">
        <w:rPr>
          <w:u w:val="thick"/>
        </w:rPr>
        <w:t>PURSUANT TO FEDERAL RULE OF BANKRUPTCY PROCEDURE 2004</w:t>
      </w:r>
    </w:p>
    <w:p w14:paraId="792A6B0B" w14:textId="77777777" w:rsidR="00C24430" w:rsidRPr="009E4C5D" w:rsidRDefault="00C24430" w:rsidP="00F624B4">
      <w:pPr>
        <w:pStyle w:val="BodyText"/>
        <w:spacing w:before="9"/>
        <w:ind w:right="-50"/>
        <w:jc w:val="center"/>
        <w:rPr>
          <w:b/>
        </w:rPr>
      </w:pPr>
    </w:p>
    <w:p w14:paraId="6B5982F3" w14:textId="0A7173A8" w:rsidR="00C24430" w:rsidRPr="00AE4A50" w:rsidRDefault="00615AA7" w:rsidP="00F624B4">
      <w:pPr>
        <w:pStyle w:val="BodyText"/>
        <w:spacing w:before="100" w:beforeAutospacing="1" w:after="100" w:afterAutospacing="1" w:line="480" w:lineRule="auto"/>
        <w:ind w:firstLine="720"/>
        <w:contextualSpacing/>
        <w:jc w:val="both"/>
      </w:pPr>
      <w:r w:rsidRPr="00AE4A50">
        <w:t>The Motion of [</w:t>
      </w:r>
      <w:r w:rsidRPr="00AE4A50">
        <w:rPr>
          <w:highlight w:val="yellow"/>
        </w:rPr>
        <w:t>Name of Movant</w:t>
      </w:r>
      <w:r w:rsidRPr="00AE4A50">
        <w:t>] (the “</w:t>
      </w:r>
      <w:r w:rsidRPr="00AE4A50">
        <w:rPr>
          <w:u w:val="single"/>
        </w:rPr>
        <w:t>Movant</w:t>
      </w:r>
      <w:r w:rsidRPr="00AE4A50">
        <w:t>”) for an order pursuant to Federal Rule</w:t>
      </w:r>
      <w:r w:rsidR="00F624B4" w:rsidRPr="00AE4A50">
        <w:t xml:space="preserve"> </w:t>
      </w:r>
      <w:r w:rsidRPr="00AE4A50">
        <w:t>of</w:t>
      </w:r>
    </w:p>
    <w:p w14:paraId="2A444025" w14:textId="77777777" w:rsidR="00C24430" w:rsidRPr="00AE4A50" w:rsidRDefault="00615AA7" w:rsidP="00F624B4">
      <w:pPr>
        <w:pStyle w:val="BodyText"/>
        <w:spacing w:before="100" w:beforeAutospacing="1" w:after="100" w:afterAutospacing="1" w:line="480" w:lineRule="auto"/>
        <w:contextualSpacing/>
        <w:jc w:val="both"/>
        <w:rPr>
          <w:highlight w:val="yellow"/>
        </w:rPr>
      </w:pPr>
      <w:r w:rsidRPr="00AE4A50">
        <w:t>Bankruptcy Procedure 2004 to take discovery and conduct an examination of [</w:t>
      </w:r>
      <w:r w:rsidRPr="00AE4A50">
        <w:rPr>
          <w:highlight w:val="yellow"/>
        </w:rPr>
        <w:t>Name of Debtor or</w:t>
      </w:r>
    </w:p>
    <w:p w14:paraId="7B9B0F5B" w14:textId="196D1CD5" w:rsidR="00C24430" w:rsidRPr="00AE4A50" w:rsidRDefault="00615AA7" w:rsidP="00F624B4">
      <w:pPr>
        <w:pStyle w:val="BodyText"/>
        <w:spacing w:before="100" w:beforeAutospacing="1" w:after="100" w:afterAutospacing="1" w:line="480" w:lineRule="auto"/>
        <w:contextualSpacing/>
        <w:jc w:val="both"/>
      </w:pPr>
      <w:r w:rsidRPr="00AE4A50">
        <w:rPr>
          <w:highlight w:val="yellow"/>
        </w:rPr>
        <w:t>Person or Entity to be examined</w:t>
      </w:r>
      <w:r w:rsidRPr="00AE4A50">
        <w:t>], filed herein on [</w:t>
      </w:r>
      <w:r w:rsidRPr="00AE4A50">
        <w:rPr>
          <w:highlight w:val="yellow"/>
        </w:rPr>
        <w:t>Date</w:t>
      </w:r>
      <w:r w:rsidRPr="00AE4A50">
        <w:t xml:space="preserve">] </w:t>
      </w:r>
      <w:r w:rsidR="00F624B4" w:rsidRPr="00AE4A50">
        <w:t>(the “</w:t>
      </w:r>
      <w:r w:rsidR="00F624B4" w:rsidRPr="00AE4A50">
        <w:rPr>
          <w:u w:val="single"/>
        </w:rPr>
        <w:t>Motion</w:t>
      </w:r>
      <w:r w:rsidR="00F624B4" w:rsidRPr="00AE4A50">
        <w:t xml:space="preserve">”) </w:t>
      </w:r>
      <w:r w:rsidRPr="00AE4A50">
        <w:t xml:space="preserve">(Docket No. </w:t>
      </w:r>
      <w:r w:rsidR="00F624B4" w:rsidRPr="00AE4A50">
        <w:t>[</w:t>
      </w:r>
      <w:r w:rsidRPr="00AE4A50">
        <w:rPr>
          <w:highlight w:val="yellow"/>
        </w:rPr>
        <w:t>XX</w:t>
      </w:r>
      <w:r w:rsidR="00F624B4" w:rsidRPr="00AE4A50">
        <w:t>]</w:t>
      </w:r>
      <w:r w:rsidRPr="00AE4A50">
        <w:t>), having been read and considered, it is</w:t>
      </w:r>
    </w:p>
    <w:p w14:paraId="06A9099A" w14:textId="08B53703" w:rsidR="00C24430" w:rsidRPr="00AE4A50" w:rsidRDefault="00615AA7" w:rsidP="00F624B4">
      <w:pPr>
        <w:pStyle w:val="BodyText"/>
        <w:spacing w:before="100" w:beforeAutospacing="1" w:after="100" w:afterAutospacing="1" w:line="480" w:lineRule="auto"/>
        <w:ind w:firstLine="719"/>
        <w:contextualSpacing/>
        <w:jc w:val="both"/>
      </w:pPr>
      <w:r w:rsidRPr="00AE4A50">
        <w:rPr>
          <w:b/>
        </w:rPr>
        <w:t xml:space="preserve">ORDERED </w:t>
      </w:r>
      <w:r w:rsidRPr="00AE4A50">
        <w:t xml:space="preserve">that the Motion be, and the same hereby is, </w:t>
      </w:r>
      <w:r w:rsidRPr="00AE4A50">
        <w:rPr>
          <w:b/>
        </w:rPr>
        <w:t xml:space="preserve">granted </w:t>
      </w:r>
      <w:r w:rsidRPr="00AE4A50">
        <w:t xml:space="preserve">as follows: pursuant to </w:t>
      </w:r>
      <w:proofErr w:type="spellStart"/>
      <w:r w:rsidR="00AE4A50" w:rsidRPr="00AE4A50">
        <w:t>Fed.R.Bankr.P</w:t>
      </w:r>
      <w:proofErr w:type="spellEnd"/>
      <w:r w:rsidR="00AE4A50">
        <w:t>.</w:t>
      </w:r>
      <w:r w:rsidR="00AE4A50" w:rsidRPr="00AE4A50">
        <w:t xml:space="preserve"> </w:t>
      </w:r>
      <w:r w:rsidRPr="00AE4A50">
        <w:t>2004(a), the Movant is authorized to proceed with discovery and conduct an</w:t>
      </w:r>
    </w:p>
    <w:p w14:paraId="6AEF9DD4" w14:textId="0DBA3AFD" w:rsidR="00F624B4" w:rsidRPr="00AE4A50" w:rsidRDefault="00615AA7" w:rsidP="00F624B4">
      <w:pPr>
        <w:pStyle w:val="BodyText"/>
        <w:spacing w:before="100" w:beforeAutospacing="1" w:after="100" w:afterAutospacing="1" w:line="480" w:lineRule="auto"/>
        <w:contextualSpacing/>
        <w:jc w:val="both"/>
        <w:rPr>
          <w:highlight w:val="yellow"/>
        </w:rPr>
      </w:pPr>
      <w:r w:rsidRPr="00AE4A50">
        <w:t>examination of [</w:t>
      </w:r>
      <w:r w:rsidRPr="00AE4A50">
        <w:rPr>
          <w:highlight w:val="yellow"/>
        </w:rPr>
        <w:t xml:space="preserve">Name of Debtor or Person or Entity to </w:t>
      </w:r>
      <w:r w:rsidR="00F624B4" w:rsidRPr="00AE4A50">
        <w:rPr>
          <w:highlight w:val="yellow"/>
        </w:rPr>
        <w:t>be</w:t>
      </w:r>
      <w:r w:rsidRPr="00AE4A50">
        <w:rPr>
          <w:highlight w:val="yellow"/>
        </w:rPr>
        <w:t xml:space="preserve"> examined</w:t>
      </w:r>
      <w:r w:rsidRPr="00AE4A50">
        <w:t>] [</w:t>
      </w:r>
      <w:r w:rsidRPr="00AE4A50">
        <w:rPr>
          <w:highlight w:val="yellow"/>
        </w:rPr>
        <w:t xml:space="preserve">by and </w:t>
      </w:r>
      <w:r w:rsidR="00F624B4" w:rsidRPr="00AE4A50">
        <w:rPr>
          <w:highlight w:val="yellow"/>
        </w:rPr>
        <w:t>through</w:t>
      </w:r>
      <w:r w:rsidRPr="00AE4A50">
        <w:rPr>
          <w:highlight w:val="yellow"/>
        </w:rPr>
        <w:t xml:space="preserve"> it</w:t>
      </w:r>
      <w:r w:rsidR="00F624B4" w:rsidRPr="00AE4A50">
        <w:rPr>
          <w:highlight w:val="yellow"/>
        </w:rPr>
        <w:t>s</w:t>
      </w:r>
    </w:p>
    <w:p w14:paraId="3D43E46C" w14:textId="12FF234F" w:rsidR="00C24430" w:rsidRPr="00AE4A50" w:rsidRDefault="00615AA7" w:rsidP="00F624B4">
      <w:pPr>
        <w:pStyle w:val="BodyText"/>
        <w:spacing w:before="100" w:beforeAutospacing="1" w:after="100" w:afterAutospacing="1" w:line="480" w:lineRule="auto"/>
        <w:contextualSpacing/>
        <w:jc w:val="both"/>
      </w:pPr>
      <w:r w:rsidRPr="00AE4A50">
        <w:rPr>
          <w:highlight w:val="yellow"/>
        </w:rPr>
        <w:t xml:space="preserve">designated </w:t>
      </w:r>
      <w:r w:rsidR="00F624B4" w:rsidRPr="00AE4A50">
        <w:rPr>
          <w:highlight w:val="yellow"/>
        </w:rPr>
        <w:t>representative if</w:t>
      </w:r>
      <w:r w:rsidRPr="00AE4A50">
        <w:rPr>
          <w:highlight w:val="yellow"/>
        </w:rPr>
        <w:t xml:space="preserve"> corporate entity</w:t>
      </w:r>
      <w:r w:rsidRPr="00AE4A50">
        <w:t xml:space="preserve">] in accordance with </w:t>
      </w:r>
      <w:proofErr w:type="spellStart"/>
      <w:r w:rsidR="00AE4A50" w:rsidRPr="00AE4A50">
        <w:t>Fed.R.Bankr.P</w:t>
      </w:r>
      <w:proofErr w:type="spellEnd"/>
      <w:r w:rsidRPr="00AE4A50">
        <w:t>. 2004(b)</w:t>
      </w:r>
      <w:r w:rsidR="00F624B4" w:rsidRPr="00AE4A50">
        <w:t xml:space="preserve"> </w:t>
      </w:r>
      <w:r w:rsidRPr="00AE4A50">
        <w:t>at a</w:t>
      </w:r>
    </w:p>
    <w:p w14:paraId="709EE371" w14:textId="77777777" w:rsidR="00C24430" w:rsidRPr="009E4C5D" w:rsidRDefault="00C24430" w:rsidP="00F624B4">
      <w:pPr>
        <w:spacing w:before="100" w:beforeAutospacing="1" w:after="100" w:afterAutospacing="1" w:line="480" w:lineRule="auto"/>
        <w:contextualSpacing/>
        <w:jc w:val="both"/>
        <w:rPr>
          <w:sz w:val="24"/>
        </w:rPr>
        <w:sectPr w:rsidR="00C24430" w:rsidRPr="009E4C5D" w:rsidSect="009E4C5D">
          <w:type w:val="continuous"/>
          <w:pgSz w:w="12240" w:h="15840"/>
          <w:pgMar w:top="1440" w:right="1320" w:bottom="280" w:left="1340" w:header="720" w:footer="720" w:gutter="0"/>
          <w:cols w:space="720"/>
        </w:sectPr>
      </w:pPr>
    </w:p>
    <w:p w14:paraId="1A884896" w14:textId="77777777" w:rsidR="00C24430" w:rsidRPr="009E4C5D" w:rsidRDefault="00C24430" w:rsidP="00F624B4">
      <w:pPr>
        <w:pStyle w:val="BodyText"/>
        <w:spacing w:before="100" w:beforeAutospacing="1" w:after="100" w:afterAutospacing="1" w:line="480" w:lineRule="auto"/>
        <w:contextualSpacing/>
        <w:jc w:val="both"/>
      </w:pPr>
    </w:p>
    <w:p w14:paraId="79555092" w14:textId="77777777" w:rsidR="00C24430" w:rsidRPr="00AE4A50" w:rsidRDefault="00615AA7" w:rsidP="00F624B4">
      <w:pPr>
        <w:pStyle w:val="BodyText"/>
        <w:spacing w:before="100" w:beforeAutospacing="1" w:after="100" w:afterAutospacing="1" w:line="480" w:lineRule="auto"/>
        <w:contextualSpacing/>
        <w:jc w:val="both"/>
      </w:pPr>
      <w:r w:rsidRPr="00AE4A50">
        <w:t>mutually agreed date, time, and place. It is further</w:t>
      </w:r>
    </w:p>
    <w:p w14:paraId="6CE47AD0" w14:textId="09F7D3ED" w:rsidR="00C24430" w:rsidRPr="00AE4A50" w:rsidRDefault="00615AA7" w:rsidP="00F624B4">
      <w:pPr>
        <w:pStyle w:val="BodyText"/>
        <w:spacing w:before="100" w:beforeAutospacing="1" w:after="100" w:afterAutospacing="1" w:line="480" w:lineRule="auto"/>
        <w:ind w:firstLine="719"/>
        <w:contextualSpacing/>
        <w:jc w:val="both"/>
      </w:pPr>
      <w:r w:rsidRPr="00AE4A50">
        <w:rPr>
          <w:b/>
          <w:bCs/>
        </w:rPr>
        <w:t>ORDERED</w:t>
      </w:r>
      <w:r w:rsidRPr="00AE4A50">
        <w:t xml:space="preserve"> that the examination may be rescheduled or adjourned from time to time and place to place by agreement of the parties, by announcement at the examination, or as set forth in a</w:t>
      </w:r>
      <w:r w:rsidR="00F624B4" w:rsidRPr="00AE4A50">
        <w:t xml:space="preserve"> </w:t>
      </w:r>
      <w:r w:rsidRPr="00AE4A50">
        <w:t>notice filed with the Court and served on [</w:t>
      </w:r>
      <w:r w:rsidRPr="00AE4A50">
        <w:rPr>
          <w:highlight w:val="yellow"/>
        </w:rPr>
        <w:t>Name of Debtor or Person or Entity to be examined</w:t>
      </w:r>
      <w:r w:rsidRPr="00AE4A50">
        <w:t>] and</w:t>
      </w:r>
      <w:r w:rsidR="00F624B4" w:rsidRPr="00AE4A50">
        <w:t xml:space="preserve"> </w:t>
      </w:r>
      <w:r w:rsidRPr="00AE4A50">
        <w:t>[</w:t>
      </w:r>
      <w:r w:rsidRPr="00AE4A50">
        <w:rPr>
          <w:highlight w:val="yellow"/>
        </w:rPr>
        <w:t>his, her, its</w:t>
      </w:r>
      <w:r w:rsidRPr="00AE4A50">
        <w:t>] counsel [</w:t>
      </w:r>
      <w:r w:rsidRPr="00AE4A50">
        <w:rPr>
          <w:highlight w:val="yellow"/>
        </w:rPr>
        <w:t>and the case</w:t>
      </w:r>
      <w:r w:rsidR="00AE4A50">
        <w:rPr>
          <w:highlight w:val="yellow"/>
        </w:rPr>
        <w:t xml:space="preserve"> T</w:t>
      </w:r>
      <w:r w:rsidRPr="00AE4A50">
        <w:rPr>
          <w:highlight w:val="yellow"/>
        </w:rPr>
        <w:t>rustee as appropriate</w:t>
      </w:r>
      <w:r w:rsidRPr="00AE4A50">
        <w:t>]. It is further</w:t>
      </w:r>
    </w:p>
    <w:p w14:paraId="3A24EFF0" w14:textId="5A76555A" w:rsidR="00C24430" w:rsidRPr="00AE4A50" w:rsidRDefault="00615AA7" w:rsidP="00F624B4">
      <w:pPr>
        <w:pStyle w:val="BodyText"/>
        <w:spacing w:before="100" w:beforeAutospacing="1" w:after="100" w:afterAutospacing="1" w:line="480" w:lineRule="auto"/>
        <w:ind w:firstLine="719"/>
        <w:contextualSpacing/>
        <w:jc w:val="both"/>
      </w:pPr>
      <w:r w:rsidRPr="00AE4A50">
        <w:rPr>
          <w:b/>
          <w:bCs/>
        </w:rPr>
        <w:t>ORDERED</w:t>
      </w:r>
      <w:r w:rsidRPr="00AE4A50">
        <w:t xml:space="preserve"> that if attendance and, if applicable, production of designated documents in connection with said examination, cannot be obtained voluntarily, the Movant may compel such attendance and production of documents as stated in </w:t>
      </w:r>
      <w:proofErr w:type="spellStart"/>
      <w:r w:rsidR="00AE4A50" w:rsidRPr="00AE4A50">
        <w:t>Fed.R.Bankr.P</w:t>
      </w:r>
      <w:proofErr w:type="spellEnd"/>
      <w:r w:rsidRPr="00AE4A50">
        <w:t xml:space="preserve">. 2004(c) in the manner provided in </w:t>
      </w:r>
      <w:proofErr w:type="spellStart"/>
      <w:r w:rsidR="00AE4A50" w:rsidRPr="00AE4A50">
        <w:t>Fed.R.Bankr.P</w:t>
      </w:r>
      <w:proofErr w:type="spellEnd"/>
      <w:r w:rsidRPr="00AE4A50">
        <w:t>. 9016, which incorporates the procedure for the issuance of a subpoena as set forth in Federal Rule of Civil Procedure 45. It is further</w:t>
      </w:r>
    </w:p>
    <w:p w14:paraId="73FDF7D9" w14:textId="0D2ACB80" w:rsidR="00C24430" w:rsidRPr="00AE4A50" w:rsidRDefault="00615AA7" w:rsidP="00F624B4">
      <w:pPr>
        <w:pStyle w:val="BodyText"/>
        <w:spacing w:before="100" w:beforeAutospacing="1" w:after="100" w:afterAutospacing="1" w:line="480" w:lineRule="auto"/>
        <w:ind w:firstLine="719"/>
        <w:contextualSpacing/>
        <w:jc w:val="both"/>
      </w:pPr>
      <w:r w:rsidRPr="00AE4A50">
        <w:rPr>
          <w:b/>
          <w:bCs/>
        </w:rPr>
        <w:t>ORDERED</w:t>
      </w:r>
      <w:r w:rsidRPr="00AE4A50">
        <w:t xml:space="preserve"> that the [</w:t>
      </w:r>
      <w:r w:rsidRPr="00AE4A50">
        <w:rPr>
          <w:highlight w:val="yellow"/>
        </w:rPr>
        <w:t>Name of Debtor or Person or Entity to be examined</w:t>
      </w:r>
      <w:r w:rsidRPr="00AE4A50">
        <w:t xml:space="preserve">] shall timely respond to any document requests made by the Movant in accordance with </w:t>
      </w:r>
      <w:proofErr w:type="spellStart"/>
      <w:r w:rsidRPr="00AE4A50">
        <w:t>Fed.R.Bankr.P</w:t>
      </w:r>
      <w:proofErr w:type="spellEnd"/>
      <w:r w:rsidRPr="00AE4A50">
        <w:t>.</w:t>
      </w:r>
      <w:r w:rsidR="00F624B4" w:rsidRPr="00AE4A50">
        <w:t xml:space="preserve"> </w:t>
      </w:r>
      <w:r w:rsidRPr="00AE4A50">
        <w:t>2004(c). [</w:t>
      </w:r>
      <w:r w:rsidRPr="00AE4A50">
        <w:rPr>
          <w:highlight w:val="yellow"/>
        </w:rPr>
        <w:t>The Debtor or Person or Entity to be examined</w:t>
      </w:r>
      <w:r w:rsidRPr="00AE4A50">
        <w:t xml:space="preserve">] may assert written objections in good faith to the requests as if such requests had been served pursuant to </w:t>
      </w:r>
      <w:proofErr w:type="spellStart"/>
      <w:r w:rsidRPr="00AE4A50">
        <w:t>Fed.R.Bankr.P</w:t>
      </w:r>
      <w:proofErr w:type="spellEnd"/>
      <w:r w:rsidRPr="00AE4A50">
        <w:t xml:space="preserve">. </w:t>
      </w:r>
      <w:r w:rsidR="000A5E1F" w:rsidRPr="00AE4A50">
        <w:t>7034 and</w:t>
      </w:r>
      <w:r w:rsidRPr="00AE4A50">
        <w:t xml:space="preserve"> shall produce to the Movant all responsive documents that are not subject to a valid timely asserted objection.</w:t>
      </w:r>
    </w:p>
    <w:p w14:paraId="711A232F" w14:textId="77777777" w:rsidR="00C24430" w:rsidRPr="00AE4A50" w:rsidRDefault="00615AA7" w:rsidP="00F624B4">
      <w:pPr>
        <w:pStyle w:val="BodyText"/>
        <w:spacing w:before="100" w:beforeAutospacing="1" w:after="100" w:afterAutospacing="1" w:line="480" w:lineRule="auto"/>
        <w:ind w:firstLine="719"/>
        <w:contextualSpacing/>
        <w:jc w:val="both"/>
      </w:pPr>
      <w:r w:rsidRPr="00AE4A50">
        <w:t>The Clerk is directed to serve a copy of this Order upon counsel for the Debtor, counsel</w:t>
      </w:r>
    </w:p>
    <w:p w14:paraId="5791394C" w14:textId="5376208B" w:rsidR="00C24430" w:rsidRPr="009E4C5D" w:rsidRDefault="00615AA7" w:rsidP="00F624B4">
      <w:pPr>
        <w:pStyle w:val="BodyText"/>
        <w:spacing w:before="100" w:beforeAutospacing="1" w:after="100" w:afterAutospacing="1" w:line="480" w:lineRule="auto"/>
        <w:contextualSpacing/>
        <w:jc w:val="both"/>
      </w:pPr>
      <w:r w:rsidRPr="00AE4A50">
        <w:t>for</w:t>
      </w:r>
      <w:r w:rsidRPr="00AE4A50">
        <w:rPr>
          <w:spacing w:val="8"/>
        </w:rPr>
        <w:t xml:space="preserve"> </w:t>
      </w:r>
      <w:r w:rsidRPr="00AE4A50">
        <w:t>the</w:t>
      </w:r>
      <w:r w:rsidRPr="00AE4A50">
        <w:rPr>
          <w:spacing w:val="11"/>
        </w:rPr>
        <w:t xml:space="preserve"> </w:t>
      </w:r>
      <w:r w:rsidRPr="00AE4A50">
        <w:t>Movant,</w:t>
      </w:r>
      <w:r w:rsidRPr="00AE4A50">
        <w:rPr>
          <w:spacing w:val="12"/>
        </w:rPr>
        <w:t xml:space="preserve"> </w:t>
      </w:r>
      <w:r w:rsidR="00566AF4" w:rsidRPr="00AE4A50">
        <w:t>[</w:t>
      </w:r>
      <w:r w:rsidR="00566AF4" w:rsidRPr="00AE4A50">
        <w:rPr>
          <w:shd w:val="clear" w:color="auto" w:fill="FFFF00"/>
        </w:rPr>
        <w:t>the</w:t>
      </w:r>
      <w:r w:rsidR="00566AF4" w:rsidRPr="00AE4A50">
        <w:rPr>
          <w:spacing w:val="8"/>
          <w:shd w:val="clear" w:color="auto" w:fill="FFFF00"/>
        </w:rPr>
        <w:t xml:space="preserve"> </w:t>
      </w:r>
      <w:r w:rsidR="00566AF4" w:rsidRPr="00AE4A50">
        <w:rPr>
          <w:shd w:val="clear" w:color="auto" w:fill="FFFF00"/>
        </w:rPr>
        <w:t>Person</w:t>
      </w:r>
      <w:r w:rsidR="00566AF4" w:rsidRPr="00AE4A50">
        <w:rPr>
          <w:spacing w:val="12"/>
          <w:shd w:val="clear" w:color="auto" w:fill="FFFF00"/>
        </w:rPr>
        <w:t xml:space="preserve"> </w:t>
      </w:r>
      <w:r w:rsidR="00566AF4" w:rsidRPr="00AE4A50">
        <w:rPr>
          <w:shd w:val="clear" w:color="auto" w:fill="FFFF00"/>
        </w:rPr>
        <w:t>or</w:t>
      </w:r>
      <w:r w:rsidR="00566AF4" w:rsidRPr="00AE4A50">
        <w:rPr>
          <w:spacing w:val="10"/>
          <w:shd w:val="clear" w:color="auto" w:fill="FFFF00"/>
        </w:rPr>
        <w:t xml:space="preserve"> </w:t>
      </w:r>
      <w:r w:rsidR="00566AF4" w:rsidRPr="00AE4A50">
        <w:rPr>
          <w:shd w:val="clear" w:color="auto" w:fill="FFFF00"/>
        </w:rPr>
        <w:t>Entity</w:t>
      </w:r>
      <w:r w:rsidR="00566AF4" w:rsidRPr="00AE4A50">
        <w:rPr>
          <w:spacing w:val="6"/>
          <w:shd w:val="clear" w:color="auto" w:fill="FFFF00"/>
        </w:rPr>
        <w:t xml:space="preserve"> </w:t>
      </w:r>
      <w:r w:rsidR="00566AF4" w:rsidRPr="00AE4A50">
        <w:rPr>
          <w:shd w:val="clear" w:color="auto" w:fill="FFFF00"/>
        </w:rPr>
        <w:t>to</w:t>
      </w:r>
      <w:r w:rsidR="00566AF4" w:rsidRPr="00AE4A50">
        <w:rPr>
          <w:spacing w:val="9"/>
          <w:shd w:val="clear" w:color="auto" w:fill="FFFF00"/>
        </w:rPr>
        <w:t xml:space="preserve"> </w:t>
      </w:r>
      <w:r w:rsidR="00566AF4" w:rsidRPr="00AE4A50">
        <w:rPr>
          <w:shd w:val="clear" w:color="auto" w:fill="FFFF00"/>
        </w:rPr>
        <w:t>be</w:t>
      </w:r>
      <w:r w:rsidR="00566AF4" w:rsidRPr="00AE4A50">
        <w:rPr>
          <w:spacing w:val="11"/>
          <w:shd w:val="clear" w:color="auto" w:fill="FFFF00"/>
        </w:rPr>
        <w:t xml:space="preserve"> </w:t>
      </w:r>
      <w:r w:rsidR="00566AF4" w:rsidRPr="00AE4A50">
        <w:rPr>
          <w:shd w:val="clear" w:color="auto" w:fill="FFFF00"/>
        </w:rPr>
        <w:t>examined</w:t>
      </w:r>
      <w:r w:rsidR="00566AF4" w:rsidRPr="00AE4A50">
        <w:rPr>
          <w:spacing w:val="9"/>
          <w:shd w:val="clear" w:color="auto" w:fill="FFFF00"/>
        </w:rPr>
        <w:t xml:space="preserve"> </w:t>
      </w:r>
      <w:r w:rsidR="00566AF4" w:rsidRPr="00AE4A50">
        <w:rPr>
          <w:shd w:val="clear" w:color="auto" w:fill="FFFF00"/>
        </w:rPr>
        <w:t>if</w:t>
      </w:r>
      <w:r w:rsidR="00566AF4" w:rsidRPr="00AE4A50">
        <w:rPr>
          <w:spacing w:val="9"/>
          <w:shd w:val="clear" w:color="auto" w:fill="FFFF00"/>
        </w:rPr>
        <w:t xml:space="preserve"> </w:t>
      </w:r>
      <w:r w:rsidR="00566AF4" w:rsidRPr="00AE4A50">
        <w:rPr>
          <w:shd w:val="clear" w:color="auto" w:fill="FFFF00"/>
        </w:rPr>
        <w:t>not</w:t>
      </w:r>
      <w:r w:rsidR="00566AF4" w:rsidRPr="00AE4A50">
        <w:rPr>
          <w:spacing w:val="9"/>
          <w:shd w:val="clear" w:color="auto" w:fill="FFFF00"/>
        </w:rPr>
        <w:t xml:space="preserve"> </w:t>
      </w:r>
      <w:r w:rsidR="00566AF4" w:rsidRPr="00AE4A50">
        <w:rPr>
          <w:shd w:val="clear" w:color="auto" w:fill="FFFF00"/>
        </w:rPr>
        <w:t>the</w:t>
      </w:r>
      <w:r w:rsidR="00566AF4" w:rsidRPr="00AE4A50">
        <w:rPr>
          <w:spacing w:val="12"/>
          <w:shd w:val="clear" w:color="auto" w:fill="FFFF00"/>
        </w:rPr>
        <w:t xml:space="preserve"> </w:t>
      </w:r>
      <w:r w:rsidR="00566AF4" w:rsidRPr="00AE4A50">
        <w:rPr>
          <w:shd w:val="clear" w:color="auto" w:fill="FFFF00"/>
        </w:rPr>
        <w:t>Debtor</w:t>
      </w:r>
      <w:r w:rsidR="00566AF4" w:rsidRPr="00AE4A50">
        <w:t>]</w:t>
      </w:r>
      <w:r w:rsidR="00566AF4">
        <w:t xml:space="preserve">, </w:t>
      </w:r>
      <w:r w:rsidRPr="00566AF4">
        <w:rPr>
          <w:highlight w:val="yellow"/>
        </w:rPr>
        <w:t>counsel</w:t>
      </w:r>
      <w:r w:rsidRPr="00566AF4">
        <w:rPr>
          <w:spacing w:val="13"/>
          <w:highlight w:val="yellow"/>
        </w:rPr>
        <w:t xml:space="preserve"> </w:t>
      </w:r>
      <w:r w:rsidRPr="00566AF4">
        <w:rPr>
          <w:highlight w:val="yellow"/>
        </w:rPr>
        <w:t>for</w:t>
      </w:r>
      <w:r w:rsidRPr="00566AF4">
        <w:rPr>
          <w:spacing w:val="7"/>
          <w:highlight w:val="yellow"/>
        </w:rPr>
        <w:t xml:space="preserve"> </w:t>
      </w:r>
      <w:r w:rsidRPr="00566AF4">
        <w:rPr>
          <w:highlight w:val="yellow"/>
        </w:rPr>
        <w:t>[</w:t>
      </w:r>
      <w:r w:rsidRPr="00566AF4">
        <w:rPr>
          <w:highlight w:val="yellow"/>
          <w:shd w:val="clear" w:color="auto" w:fill="FFFF00"/>
        </w:rPr>
        <w:t>the</w:t>
      </w:r>
      <w:r w:rsidRPr="00566AF4">
        <w:rPr>
          <w:spacing w:val="8"/>
          <w:highlight w:val="yellow"/>
          <w:shd w:val="clear" w:color="auto" w:fill="FFFF00"/>
        </w:rPr>
        <w:t xml:space="preserve"> </w:t>
      </w:r>
      <w:r w:rsidRPr="00566AF4">
        <w:rPr>
          <w:highlight w:val="yellow"/>
          <w:shd w:val="clear" w:color="auto" w:fill="FFFF00"/>
        </w:rPr>
        <w:t>Person</w:t>
      </w:r>
      <w:r w:rsidRPr="00566AF4">
        <w:rPr>
          <w:spacing w:val="12"/>
          <w:highlight w:val="yellow"/>
          <w:shd w:val="clear" w:color="auto" w:fill="FFFF00"/>
        </w:rPr>
        <w:t xml:space="preserve"> </w:t>
      </w:r>
      <w:r w:rsidRPr="00566AF4">
        <w:rPr>
          <w:highlight w:val="yellow"/>
          <w:shd w:val="clear" w:color="auto" w:fill="FFFF00"/>
        </w:rPr>
        <w:t>or</w:t>
      </w:r>
      <w:r w:rsidRPr="00566AF4">
        <w:rPr>
          <w:spacing w:val="10"/>
          <w:highlight w:val="yellow"/>
          <w:shd w:val="clear" w:color="auto" w:fill="FFFF00"/>
        </w:rPr>
        <w:t xml:space="preserve"> </w:t>
      </w:r>
      <w:r w:rsidRPr="00566AF4">
        <w:rPr>
          <w:highlight w:val="yellow"/>
          <w:shd w:val="clear" w:color="auto" w:fill="FFFF00"/>
        </w:rPr>
        <w:t>Entity</w:t>
      </w:r>
      <w:r w:rsidRPr="00566AF4">
        <w:rPr>
          <w:spacing w:val="6"/>
          <w:highlight w:val="yellow"/>
          <w:shd w:val="clear" w:color="auto" w:fill="FFFF00"/>
        </w:rPr>
        <w:t xml:space="preserve"> </w:t>
      </w:r>
      <w:r w:rsidRPr="00566AF4">
        <w:rPr>
          <w:highlight w:val="yellow"/>
          <w:shd w:val="clear" w:color="auto" w:fill="FFFF00"/>
        </w:rPr>
        <w:t>to</w:t>
      </w:r>
      <w:r w:rsidRPr="00566AF4">
        <w:rPr>
          <w:spacing w:val="9"/>
          <w:highlight w:val="yellow"/>
          <w:shd w:val="clear" w:color="auto" w:fill="FFFF00"/>
        </w:rPr>
        <w:t xml:space="preserve"> </w:t>
      </w:r>
      <w:r w:rsidRPr="00566AF4">
        <w:rPr>
          <w:highlight w:val="yellow"/>
          <w:shd w:val="clear" w:color="auto" w:fill="FFFF00"/>
        </w:rPr>
        <w:t>be</w:t>
      </w:r>
      <w:r w:rsidRPr="00566AF4">
        <w:rPr>
          <w:spacing w:val="11"/>
          <w:highlight w:val="yellow"/>
          <w:shd w:val="clear" w:color="auto" w:fill="FFFF00"/>
        </w:rPr>
        <w:t xml:space="preserve"> </w:t>
      </w:r>
      <w:r w:rsidRPr="00566AF4">
        <w:rPr>
          <w:highlight w:val="yellow"/>
          <w:shd w:val="clear" w:color="auto" w:fill="FFFF00"/>
        </w:rPr>
        <w:t>examined</w:t>
      </w:r>
      <w:r w:rsidRPr="00566AF4">
        <w:rPr>
          <w:spacing w:val="9"/>
          <w:highlight w:val="yellow"/>
          <w:shd w:val="clear" w:color="auto" w:fill="FFFF00"/>
        </w:rPr>
        <w:t xml:space="preserve"> </w:t>
      </w:r>
      <w:r w:rsidRPr="00566AF4">
        <w:rPr>
          <w:highlight w:val="yellow"/>
          <w:shd w:val="clear" w:color="auto" w:fill="FFFF00"/>
        </w:rPr>
        <w:t>if</w:t>
      </w:r>
      <w:r w:rsidRPr="00566AF4">
        <w:rPr>
          <w:spacing w:val="9"/>
          <w:highlight w:val="yellow"/>
          <w:shd w:val="clear" w:color="auto" w:fill="FFFF00"/>
        </w:rPr>
        <w:t xml:space="preserve"> </w:t>
      </w:r>
      <w:r w:rsidRPr="00566AF4">
        <w:rPr>
          <w:highlight w:val="yellow"/>
          <w:shd w:val="clear" w:color="auto" w:fill="FFFF00"/>
        </w:rPr>
        <w:t>not</w:t>
      </w:r>
      <w:r w:rsidRPr="00566AF4">
        <w:rPr>
          <w:spacing w:val="9"/>
          <w:highlight w:val="yellow"/>
          <w:shd w:val="clear" w:color="auto" w:fill="FFFF00"/>
        </w:rPr>
        <w:t xml:space="preserve"> </w:t>
      </w:r>
      <w:r w:rsidRPr="00566AF4">
        <w:rPr>
          <w:highlight w:val="yellow"/>
          <w:shd w:val="clear" w:color="auto" w:fill="FFFF00"/>
        </w:rPr>
        <w:t>the</w:t>
      </w:r>
      <w:r w:rsidRPr="00566AF4">
        <w:rPr>
          <w:spacing w:val="12"/>
          <w:highlight w:val="yellow"/>
          <w:shd w:val="clear" w:color="auto" w:fill="FFFF00"/>
        </w:rPr>
        <w:t xml:space="preserve"> </w:t>
      </w:r>
      <w:r w:rsidRPr="00566AF4">
        <w:rPr>
          <w:highlight w:val="yellow"/>
          <w:shd w:val="clear" w:color="auto" w:fill="FFFF00"/>
        </w:rPr>
        <w:t>Debtor</w:t>
      </w:r>
      <w:r w:rsidR="00502D6A">
        <w:rPr>
          <w:highlight w:val="yellow"/>
          <w:shd w:val="clear" w:color="auto" w:fill="FFFF00"/>
        </w:rPr>
        <w:t xml:space="preserve"> (if any)</w:t>
      </w:r>
      <w:r w:rsidRPr="00566AF4">
        <w:rPr>
          <w:highlight w:val="yellow"/>
        </w:rPr>
        <w:t>]</w:t>
      </w:r>
      <w:r w:rsidRPr="00AE4A50">
        <w:t>,</w:t>
      </w:r>
      <w:r w:rsidRPr="00AE4A50">
        <w:rPr>
          <w:spacing w:val="9"/>
        </w:rPr>
        <w:t xml:space="preserve"> </w:t>
      </w:r>
      <w:r w:rsidRPr="00AE4A50">
        <w:t>the</w:t>
      </w:r>
      <w:r w:rsidRPr="00AE4A50">
        <w:rPr>
          <w:spacing w:val="11"/>
        </w:rPr>
        <w:t xml:space="preserve"> </w:t>
      </w:r>
      <w:r w:rsidRPr="00AE4A50">
        <w:t>Chapter</w:t>
      </w:r>
      <w:r w:rsidR="00566AF4">
        <w:t xml:space="preserve"> </w:t>
      </w:r>
      <w:r w:rsidR="00F624B4" w:rsidRPr="00AE4A50">
        <w:rPr>
          <w:shd w:val="clear" w:color="auto" w:fill="FFFF00"/>
        </w:rPr>
        <w:t>[</w:t>
      </w:r>
      <w:r w:rsidRPr="00AE4A50">
        <w:rPr>
          <w:shd w:val="clear" w:color="auto" w:fill="FFFF00"/>
        </w:rPr>
        <w:t>X</w:t>
      </w:r>
      <w:r w:rsidR="00F624B4" w:rsidRPr="00AE4A50">
        <w:rPr>
          <w:shd w:val="clear" w:color="auto" w:fill="FFFF00"/>
        </w:rPr>
        <w:t>X</w:t>
      </w:r>
      <w:r w:rsidR="00F624B4" w:rsidRPr="00AE4A50">
        <w:t>]</w:t>
      </w:r>
      <w:r w:rsidRPr="00AE4A50">
        <w:t xml:space="preserve"> Trustee, and the United States Trustee.</w:t>
      </w:r>
    </w:p>
    <w:p w14:paraId="7925FEB3" w14:textId="4941AC98" w:rsidR="00BB7F83" w:rsidRPr="00AE4A50" w:rsidRDefault="00615AA7" w:rsidP="00F624B4">
      <w:pPr>
        <w:pStyle w:val="Heading1"/>
        <w:ind w:left="0" w:right="40"/>
      </w:pPr>
      <w:r w:rsidRPr="00AE4A50">
        <w:t>[END OF DOCUMENT]</w:t>
      </w:r>
    </w:p>
    <w:p w14:paraId="77870F0B" w14:textId="2B0C3559" w:rsidR="00615AA7" w:rsidRDefault="00615AA7" w:rsidP="00F624B4">
      <w:pPr>
        <w:pStyle w:val="Heading1"/>
        <w:ind w:left="0" w:right="40"/>
      </w:pPr>
    </w:p>
    <w:p w14:paraId="0E676735" w14:textId="2FEF27DC" w:rsidR="00AE4A50" w:rsidRDefault="00AE4A50" w:rsidP="00F624B4">
      <w:pPr>
        <w:pStyle w:val="Heading1"/>
        <w:ind w:left="0" w:right="40"/>
      </w:pPr>
    </w:p>
    <w:p w14:paraId="04D8E0F7" w14:textId="0F3B267F" w:rsidR="00AE4A50" w:rsidRDefault="00AE4A50" w:rsidP="00F624B4">
      <w:pPr>
        <w:pStyle w:val="Heading1"/>
        <w:ind w:left="0" w:right="40"/>
      </w:pPr>
    </w:p>
    <w:p w14:paraId="6B40838A" w14:textId="2503482F" w:rsidR="00AE4A50" w:rsidRDefault="00AE4A50" w:rsidP="00F624B4">
      <w:pPr>
        <w:pStyle w:val="Heading1"/>
        <w:ind w:left="0" w:right="40"/>
      </w:pPr>
    </w:p>
    <w:p w14:paraId="09F50114" w14:textId="1737131E" w:rsidR="00AE4A50" w:rsidRDefault="00AE4A50" w:rsidP="00F624B4">
      <w:pPr>
        <w:pStyle w:val="Heading1"/>
        <w:ind w:left="0" w:right="40"/>
      </w:pPr>
    </w:p>
    <w:p w14:paraId="36E517E0" w14:textId="0DD1CC23" w:rsidR="00AE4A50" w:rsidRDefault="00AE4A50" w:rsidP="00F624B4">
      <w:pPr>
        <w:pStyle w:val="Heading1"/>
        <w:ind w:left="0" w:right="40"/>
      </w:pPr>
    </w:p>
    <w:p w14:paraId="44911370" w14:textId="0CA3766C" w:rsidR="00AE4A50" w:rsidRDefault="00AE4A50" w:rsidP="00F624B4">
      <w:pPr>
        <w:pStyle w:val="Heading1"/>
        <w:ind w:left="0" w:right="40"/>
      </w:pPr>
    </w:p>
    <w:p w14:paraId="7602D2B1" w14:textId="6559B8C0" w:rsidR="00AE4A50" w:rsidRDefault="00AE4A50" w:rsidP="00F624B4">
      <w:pPr>
        <w:pStyle w:val="Heading1"/>
        <w:ind w:left="0" w:right="40"/>
      </w:pPr>
    </w:p>
    <w:p w14:paraId="3E117FAF" w14:textId="77777777" w:rsidR="00AE4A50" w:rsidRPr="00AE4A50" w:rsidRDefault="00AE4A50" w:rsidP="00F624B4">
      <w:pPr>
        <w:pStyle w:val="Heading1"/>
        <w:ind w:left="0" w:right="40"/>
      </w:pPr>
    </w:p>
    <w:p w14:paraId="0C1AA223" w14:textId="77777777" w:rsidR="00BB7F83" w:rsidRPr="00AE4A50" w:rsidRDefault="00BB7F83" w:rsidP="00F624B4">
      <w:pPr>
        <w:pStyle w:val="Heading1"/>
        <w:ind w:left="0" w:right="40"/>
      </w:pPr>
    </w:p>
    <w:p w14:paraId="5A4DECDC" w14:textId="77777777" w:rsidR="00BB7F83" w:rsidRPr="009E4C5D" w:rsidRDefault="00BB7F83" w:rsidP="00BB7F83">
      <w:pPr>
        <w:rPr>
          <w:sz w:val="24"/>
        </w:rPr>
      </w:pPr>
      <w:r w:rsidRPr="009E4C5D">
        <w:rPr>
          <w:sz w:val="24"/>
        </w:rPr>
        <w:t>Prepared and presented by:</w:t>
      </w:r>
    </w:p>
    <w:p w14:paraId="7A849B65" w14:textId="77777777" w:rsidR="00BB7F83" w:rsidRPr="009E4C5D" w:rsidRDefault="00BB7F83" w:rsidP="00BB7F83">
      <w:pPr>
        <w:rPr>
          <w:sz w:val="24"/>
        </w:rPr>
      </w:pPr>
    </w:p>
    <w:p w14:paraId="4C4A6BF9" w14:textId="77777777" w:rsidR="00BB7F83" w:rsidRPr="009E4C5D" w:rsidRDefault="00BB7F83" w:rsidP="00BB7F83">
      <w:pPr>
        <w:rPr>
          <w:sz w:val="24"/>
        </w:rPr>
      </w:pPr>
    </w:p>
    <w:p w14:paraId="5E1D1A14" w14:textId="77777777" w:rsidR="00BB7F83" w:rsidRPr="00AE4A50" w:rsidRDefault="00BB7F83" w:rsidP="00BB7F83">
      <w:pPr>
        <w:pStyle w:val="Default"/>
        <w:rPr>
          <w:rFonts w:ascii="Times New Roman" w:hAnsi="Times New Roman" w:cs="Times New Roman"/>
          <w:b/>
          <w:bCs/>
          <w:color w:val="auto"/>
          <w:highlight w:val="yellow"/>
        </w:rPr>
      </w:pPr>
      <w:r w:rsidRPr="00AE4A50">
        <w:rPr>
          <w:rFonts w:ascii="Times New Roman" w:hAnsi="Times New Roman" w:cs="Times New Roman"/>
          <w:b/>
          <w:bCs/>
          <w:color w:val="auto"/>
          <w:highlight w:val="yellow"/>
        </w:rPr>
        <w:t xml:space="preserve">SIGNATURE____________________ </w:t>
      </w:r>
    </w:p>
    <w:p w14:paraId="1D7E5D51" w14:textId="77777777" w:rsidR="00BB7F83" w:rsidRPr="00AE4A50" w:rsidRDefault="00BB7F83" w:rsidP="00BB7F83">
      <w:pPr>
        <w:pStyle w:val="Default"/>
        <w:rPr>
          <w:rFonts w:ascii="Times New Roman" w:hAnsi="Times New Roman" w:cs="Times New Roman"/>
          <w:b/>
          <w:bCs/>
          <w:i/>
          <w:iCs/>
          <w:color w:val="auto"/>
          <w:highlight w:val="yellow"/>
        </w:rPr>
      </w:pPr>
      <w:r w:rsidRPr="00AE4A50">
        <w:rPr>
          <w:rFonts w:ascii="Times New Roman" w:hAnsi="Times New Roman" w:cs="Times New Roman"/>
          <w:b/>
          <w:bCs/>
          <w:i/>
          <w:iCs/>
          <w:color w:val="auto"/>
          <w:highlight w:val="yellow"/>
        </w:rPr>
        <w:t xml:space="preserve">[Name of Counsel] </w:t>
      </w:r>
    </w:p>
    <w:p w14:paraId="13CE9D0F" w14:textId="77777777" w:rsidR="00BB7F83" w:rsidRPr="00AE4A50" w:rsidRDefault="00BB7F83" w:rsidP="00BB7F83">
      <w:pPr>
        <w:pStyle w:val="Default"/>
        <w:rPr>
          <w:rFonts w:ascii="Times New Roman" w:hAnsi="Times New Roman" w:cs="Times New Roman"/>
          <w:b/>
          <w:bCs/>
          <w:i/>
          <w:iCs/>
          <w:color w:val="auto"/>
          <w:highlight w:val="yellow"/>
        </w:rPr>
      </w:pPr>
      <w:r w:rsidRPr="00AE4A50">
        <w:rPr>
          <w:rFonts w:ascii="Times New Roman" w:hAnsi="Times New Roman" w:cs="Times New Roman"/>
          <w:b/>
          <w:bCs/>
          <w:i/>
          <w:iCs/>
          <w:color w:val="auto"/>
          <w:highlight w:val="yellow"/>
        </w:rPr>
        <w:t xml:space="preserve">[Bar No. XXXXXXX] </w:t>
      </w:r>
    </w:p>
    <w:p w14:paraId="786BF780" w14:textId="77777777" w:rsidR="00BB7F83" w:rsidRPr="009E4C5D" w:rsidRDefault="00BB7F83" w:rsidP="00BB7F83">
      <w:pPr>
        <w:rPr>
          <w:b/>
          <w:i/>
          <w:sz w:val="24"/>
          <w:highlight w:val="yellow"/>
        </w:rPr>
      </w:pPr>
      <w:r w:rsidRPr="009E4C5D">
        <w:rPr>
          <w:b/>
          <w:i/>
          <w:sz w:val="24"/>
          <w:highlight w:val="yellow"/>
        </w:rPr>
        <w:t>[Address]</w:t>
      </w:r>
    </w:p>
    <w:p w14:paraId="6102EC66" w14:textId="77777777" w:rsidR="00BB7F83" w:rsidRPr="009E4C5D" w:rsidRDefault="00BB7F83" w:rsidP="00BB7F83">
      <w:pPr>
        <w:rPr>
          <w:b/>
          <w:i/>
          <w:sz w:val="24"/>
          <w:highlight w:val="yellow"/>
        </w:rPr>
      </w:pPr>
      <w:r w:rsidRPr="009E4C5D">
        <w:rPr>
          <w:b/>
          <w:i/>
          <w:sz w:val="24"/>
          <w:highlight w:val="yellow"/>
        </w:rPr>
        <w:t>[Telephone]</w:t>
      </w:r>
    </w:p>
    <w:p w14:paraId="12F18324" w14:textId="6C94F68E" w:rsidR="00C24430" w:rsidRPr="009E4C5D" w:rsidRDefault="00BB7F83" w:rsidP="00BB7F83">
      <w:pPr>
        <w:rPr>
          <w:b/>
          <w:i/>
          <w:sz w:val="24"/>
        </w:rPr>
      </w:pPr>
      <w:r w:rsidRPr="009E4C5D">
        <w:rPr>
          <w:b/>
          <w:i/>
          <w:sz w:val="24"/>
          <w:highlight w:val="yellow"/>
        </w:rPr>
        <w:t>[E-mail Address]</w:t>
      </w:r>
    </w:p>
    <w:sectPr w:rsidR="00C24430" w:rsidRPr="009E4C5D">
      <w:pgSz w:w="12240" w:h="15840"/>
      <w:pgMar w:top="15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30"/>
    <w:rsid w:val="0009369E"/>
    <w:rsid w:val="000A5E1F"/>
    <w:rsid w:val="00502D6A"/>
    <w:rsid w:val="00566AF4"/>
    <w:rsid w:val="00615AA7"/>
    <w:rsid w:val="008D0F62"/>
    <w:rsid w:val="009E4C5D"/>
    <w:rsid w:val="00AE4A50"/>
    <w:rsid w:val="00BB1C27"/>
    <w:rsid w:val="00BB7F83"/>
    <w:rsid w:val="00C24430"/>
    <w:rsid w:val="00DE71DA"/>
    <w:rsid w:val="00F62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15B73"/>
  <w15:docId w15:val="{334C494E-734F-485D-83FE-0EAED723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460" w:right="824"/>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basedOn w:val="Normal"/>
    <w:rsid w:val="00BB7F83"/>
    <w:pPr>
      <w:adjustRightInd w:val="0"/>
    </w:pPr>
    <w:rPr>
      <w:rFonts w:ascii="Shruti" w:hAnsi="Shruti" w:cs="Shruti"/>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Hensley</dc:creator>
  <cp:lastModifiedBy>Ashleigh Marchant</cp:lastModifiedBy>
  <cp:revision>3</cp:revision>
  <dcterms:created xsi:type="dcterms:W3CDTF">2021-12-21T17:19:00Z</dcterms:created>
  <dcterms:modified xsi:type="dcterms:W3CDTF">2021-12-22T13:31:00Z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2016-08-15T00:00:00Z</vt:filetime>
  </property>
  <property fmtid="{D5CDD505-2E9C-101B-9397-08002B2CF9AE}" pid="3" name="Creator">
    <vt:lpwstr>Microsoft® Word 2010</vt:lpwstr>
  </property>
  <property fmtid="{D5CDD505-2E9C-101B-9397-08002B2CF9AE}" pid="4" name="LastSaved">
    <vt:filetime>2021-10-21T00:00:00Z</vt:filetime>
  </property>
</Properties>
</file>